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E" w:rsidRDefault="0067219E" w:rsidP="0067219E">
      <w:pPr>
        <w:spacing w:after="120"/>
        <w:rPr>
          <w:rFonts w:cs="Arial"/>
          <w:sz w:val="28"/>
          <w:szCs w:val="28"/>
          <w:lang w:val="en-GB"/>
        </w:rPr>
      </w:pPr>
      <w:r>
        <w:rPr>
          <w:rFonts w:cs="Arial"/>
          <w:b/>
          <w:sz w:val="36"/>
          <w:szCs w:val="36"/>
          <w:lang w:val="en-GB"/>
        </w:rPr>
        <w:t>Factsheet</w:t>
      </w:r>
    </w:p>
    <w:p w:rsidR="0067219E" w:rsidRDefault="0067219E" w:rsidP="0067219E">
      <w:pPr>
        <w:spacing w:after="12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Aspern Smart City Research (ASCR)</w:t>
      </w:r>
    </w:p>
    <w:p w:rsidR="0067219E" w:rsidRDefault="0067219E" w:rsidP="0067219E">
      <w:pPr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67219E" w:rsidRPr="00FB32C4" w:rsidTr="0067219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Organisation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Aspern Smart City Research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Gmbh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&amp; Co KG (ASCR)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="Arial"/>
                <w:sz w:val="20"/>
                <w:szCs w:val="20"/>
                <w:lang w:val="de-AT"/>
              </w:rPr>
              <w:t>Seestadtstraße 27</w:t>
            </w:r>
            <w:r>
              <w:rPr>
                <w:rFonts w:cs="Arial"/>
                <w:sz w:val="20"/>
                <w:szCs w:val="20"/>
                <w:lang w:val="de-AT"/>
              </w:rPr>
              <w:br/>
              <w:t>AT – 1220 Vienna</w:t>
            </w:r>
          </w:p>
          <w:p w:rsidR="0067219E" w:rsidRDefault="002250B0">
            <w:pPr>
              <w:rPr>
                <w:rFonts w:cs="Arial"/>
                <w:sz w:val="20"/>
                <w:szCs w:val="20"/>
                <w:lang w:val="de-AT"/>
              </w:rPr>
            </w:pPr>
            <w:hyperlink r:id="rId5" w:history="1">
              <w:r w:rsidR="0067219E">
                <w:rPr>
                  <w:rStyle w:val="Hyperlink"/>
                  <w:rFonts w:cs="Arial"/>
                  <w:sz w:val="20"/>
                  <w:szCs w:val="20"/>
                  <w:lang w:val="de-AT"/>
                </w:rPr>
                <w:t>www.ascr.at</w:t>
              </w:r>
            </w:hyperlink>
          </w:p>
        </w:tc>
      </w:tr>
      <w:tr w:rsidR="0067219E" w:rsidTr="0067219E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de-AT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Established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2013</w:t>
            </w:r>
          </w:p>
        </w:tc>
      </w:tr>
      <w:tr w:rsidR="0067219E" w:rsidRPr="00FB32C4" w:rsidTr="0067219E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="Arial"/>
                <w:sz w:val="20"/>
                <w:szCs w:val="20"/>
                <w:lang w:val="de-AT"/>
              </w:rPr>
              <w:t>Mag. Robert Grüneis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="Arial"/>
                <w:sz w:val="20"/>
                <w:szCs w:val="20"/>
                <w:lang w:val="de-AT"/>
              </w:rPr>
              <w:t>Dr. Georg Pammer</w:t>
            </w:r>
          </w:p>
        </w:tc>
      </w:tr>
      <w:tr w:rsidR="0067219E" w:rsidTr="0067219E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de-AT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Shareholders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="Arial"/>
                <w:sz w:val="20"/>
                <w:szCs w:val="20"/>
                <w:lang w:val="de-AT"/>
              </w:rPr>
              <w:t>Siemens AG Österreich (44,1%)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="Arial"/>
                <w:sz w:val="20"/>
                <w:szCs w:val="20"/>
                <w:lang w:val="de-AT"/>
              </w:rPr>
              <w:t>Wien Energie GmbH (29,95 %)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="Arial"/>
                <w:sz w:val="20"/>
                <w:szCs w:val="20"/>
                <w:lang w:val="de-AT"/>
              </w:rPr>
              <w:t>Wiener Netze GmbH (20%)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="Arial"/>
                <w:sz w:val="20"/>
                <w:szCs w:val="20"/>
                <w:lang w:val="de-AT"/>
              </w:rPr>
              <w:t>Wirtschaftsagentur Wien (4,66%)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Wien 3420 Holding GmbH (1</w:t>
            </w:r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,29</w:t>
            </w:r>
            <w:proofErr w:type="gramEnd"/>
            <w:r>
              <w:rPr>
                <w:rFonts w:cs="Arial"/>
                <w:sz w:val="20"/>
                <w:szCs w:val="20"/>
                <w:lang w:val="en-GB"/>
              </w:rPr>
              <w:t>%)</w:t>
            </w:r>
          </w:p>
        </w:tc>
      </w:tr>
      <w:tr w:rsidR="0067219E" w:rsidRPr="0067219E" w:rsidTr="0067219E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Employees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Over 100 employees, </w:t>
            </w:r>
            <w:r w:rsidR="00DF4E9C">
              <w:rPr>
                <w:rFonts w:cs="Arial"/>
                <w:sz w:val="20"/>
                <w:szCs w:val="20"/>
                <w:lang w:val="en-GB"/>
              </w:rPr>
              <w:t xml:space="preserve">with varying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scientific </w:t>
            </w:r>
            <w:r w:rsidR="00DF4E9C">
              <w:rPr>
                <w:rFonts w:cs="Arial"/>
                <w:sz w:val="20"/>
                <w:szCs w:val="20"/>
                <w:lang w:val="en-GB"/>
              </w:rPr>
              <w:t>backgrounds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, from the shareholding companies are directly involved with ASCR research. </w:t>
            </w:r>
          </w:p>
        </w:tc>
      </w:tr>
      <w:tr w:rsidR="0067219E" w:rsidRPr="0067219E" w:rsidTr="0067219E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Business objectives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The fundamental goal of ASCR is to fi</w:t>
            </w:r>
            <w:r w:rsidR="00D21AA9">
              <w:rPr>
                <w:rFonts w:cs="Arial"/>
                <w:sz w:val="20"/>
                <w:szCs w:val="20"/>
                <w:lang w:val="en-GB"/>
              </w:rPr>
              <w:t>nd and develop solutions for the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future of energy within urban environments, thereby increasing efficiency and </w:t>
            </w:r>
            <w:r w:rsidR="00D21AA9">
              <w:rPr>
                <w:rFonts w:cs="Arial"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sz w:val="20"/>
                <w:szCs w:val="20"/>
                <w:lang w:val="en-GB"/>
              </w:rPr>
              <w:t>ustainability</w:t>
            </w:r>
            <w:r w:rsidR="003C4306">
              <w:rPr>
                <w:rFonts w:cs="Arial"/>
                <w:sz w:val="20"/>
                <w:szCs w:val="20"/>
                <w:lang w:val="en-GB"/>
              </w:rPr>
              <w:t xml:space="preserve"> of energy production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. The research aims to benefit the city of Vienna </w:t>
            </w:r>
            <w:r w:rsidR="00DF4E9C">
              <w:rPr>
                <w:rFonts w:cs="Arial"/>
                <w:sz w:val="20"/>
                <w:szCs w:val="20"/>
                <w:lang w:val="en-GB"/>
              </w:rPr>
              <w:t xml:space="preserve">and all of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its citizens. It is the first and, to date, </w:t>
            </w:r>
            <w:r w:rsidR="00DA68A7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Arial"/>
                <w:sz w:val="20"/>
                <w:szCs w:val="20"/>
                <w:lang w:val="en-GB"/>
              </w:rPr>
              <w:t>only co-operational model of this size.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Research Areas: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Smart Building: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Buildings that optimize their energy demand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Smart Grid: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The path to an intelligent power grid 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Smart User: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User-oriented technology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Smart ICT: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Interconnected research through </w:t>
            </w:r>
            <w:r>
              <w:rPr>
                <w:rFonts w:cs="Arial"/>
                <w:sz w:val="20"/>
                <w:szCs w:val="20"/>
                <w:lang w:val="en-GB"/>
              </w:rPr>
              <w:t>Information</w:t>
            </w:r>
            <w:r w:rsidR="003C2D2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and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Communication Technology </w:t>
            </w:r>
          </w:p>
        </w:tc>
      </w:tr>
      <w:tr w:rsidR="0067219E" w:rsidTr="0067219E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Current Program period </w:t>
            </w: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ASCR 2023 (2019-2023)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3C2D2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Focus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Further connectivity of buildings, grids and markets</w:t>
            </w:r>
          </w:p>
          <w:p w:rsidR="0067219E" w:rsidRDefault="003C2D2E" w:rsidP="00FF395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Extensive research</w:t>
            </w:r>
            <w:r w:rsidR="0067219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into the use </w:t>
            </w:r>
            <w:r w:rsidR="0067219E">
              <w:rPr>
                <w:rFonts w:cs="Arial"/>
                <w:sz w:val="20"/>
                <w:szCs w:val="20"/>
                <w:lang w:val="en-GB"/>
              </w:rPr>
              <w:t xml:space="preserve">of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heat </w:t>
            </w:r>
            <w:r w:rsidR="002250B0">
              <w:rPr>
                <w:rFonts w:cs="Arial"/>
                <w:sz w:val="20"/>
                <w:szCs w:val="20"/>
                <w:lang w:val="en-GB"/>
              </w:rPr>
              <w:t>exhaust, further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en-GB"/>
              </w:rPr>
              <w:t xml:space="preserve"> to aid </w:t>
            </w:r>
            <w:r w:rsidR="00892B20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="0067219E">
              <w:rPr>
                <w:rFonts w:cs="Arial"/>
                <w:sz w:val="20"/>
                <w:szCs w:val="20"/>
                <w:lang w:val="en-GB"/>
              </w:rPr>
              <w:t>cooling</w:t>
            </w:r>
            <w:r w:rsidR="00892B20">
              <w:rPr>
                <w:rFonts w:cs="Arial"/>
                <w:sz w:val="20"/>
                <w:szCs w:val="20"/>
                <w:lang w:val="en-GB"/>
              </w:rPr>
              <w:t xml:space="preserve"> of the interior of buildings</w:t>
            </w:r>
          </w:p>
          <w:p w:rsidR="00D21AA9" w:rsidRDefault="00D21AA9" w:rsidP="00FF395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Questions of smart charging of electric vehicles as well as their usage for energy storage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Already fixed Research Project: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Power Systems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Cognification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B93A4C">
              <w:rPr>
                <w:rFonts w:cs="Arial"/>
                <w:sz w:val="20"/>
                <w:szCs w:val="20"/>
                <w:lang w:val="en-GB"/>
              </w:rPr>
              <w:t>abbrv</w:t>
            </w:r>
            <w:proofErr w:type="spellEnd"/>
            <w:r w:rsidR="00D21AA9">
              <w:rPr>
                <w:rFonts w:cs="Arial"/>
                <w:sz w:val="20"/>
                <w:szCs w:val="20"/>
                <w:lang w:val="en-GB"/>
              </w:rPr>
              <w:t>:</w:t>
            </w:r>
            <w:r w:rsidR="00FB32C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PoSyCo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D21AA9" w:rsidRDefault="00D21AA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Financial Resources: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br/>
              <w:t>45 Million Euros</w:t>
            </w:r>
          </w:p>
        </w:tc>
      </w:tr>
      <w:tr w:rsidR="0067219E" w:rsidTr="0067219E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Initial Program period </w:t>
            </w: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(2013-2018)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Achievements and Results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60 </w:t>
            </w:r>
            <w:r w:rsidR="00FB32C4">
              <w:rPr>
                <w:rFonts w:cs="Arial"/>
                <w:b/>
                <w:sz w:val="20"/>
                <w:szCs w:val="20"/>
                <w:lang w:val="en-GB"/>
              </w:rPr>
              <w:t xml:space="preserve"> research questions answered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15 prototypical solutions </w:t>
            </w:r>
            <w:r w:rsidR="00FB32C4">
              <w:rPr>
                <w:rFonts w:cs="Arial"/>
                <w:sz w:val="20"/>
                <w:szCs w:val="20"/>
                <w:lang w:val="en-GB"/>
              </w:rPr>
              <w:t xml:space="preserve"> in relation to </w:t>
            </w:r>
            <w:r>
              <w:rPr>
                <w:rFonts w:cs="Arial"/>
                <w:sz w:val="20"/>
                <w:szCs w:val="20"/>
                <w:lang w:val="en-GB"/>
              </w:rPr>
              <w:t>intelligent buildings and grid infrastructure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11 patents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B32C4">
              <w:rPr>
                <w:rFonts w:cs="Arial"/>
                <w:sz w:val="20"/>
                <w:szCs w:val="20"/>
                <w:lang w:val="en-GB"/>
              </w:rPr>
              <w:t>pending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3 research environments with  state of the art building technology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(BEMS);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established, evaluated, optimized </w:t>
            </w:r>
          </w:p>
          <w:p w:rsidR="0067219E" w:rsidRDefault="0067219E" w:rsidP="00FF395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Residential building: 111 participating units</w:t>
            </w:r>
          </w:p>
          <w:p w:rsidR="0067219E" w:rsidRDefault="0067219E" w:rsidP="00FF395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Education campus: 900 People (Primary school, Kindergarten)</w:t>
            </w:r>
          </w:p>
          <w:p w:rsidR="00BA1B19" w:rsidRPr="00D21AA9" w:rsidRDefault="00D21AA9" w:rsidP="00D21AA9">
            <w:pPr>
              <w:pStyle w:val="Listenabsatz"/>
              <w:numPr>
                <w:ilvl w:val="1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Student dormitories: 313  bed spaces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Realized concept of a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virtual Powerplant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(DEMS)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as a System that allows for the flexibility of buildings to be </w:t>
            </w:r>
            <w:r w:rsidR="000F2914">
              <w:rPr>
                <w:rFonts w:cs="Arial"/>
                <w:sz w:val="20"/>
                <w:szCs w:val="20"/>
                <w:lang w:val="en-GB"/>
              </w:rPr>
              <w:t xml:space="preserve">utilised. 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Transformation of the local passive distributive power grid </w:t>
            </w:r>
            <w:r w:rsidR="00DF4E9C">
              <w:rPr>
                <w:rFonts w:cs="Arial"/>
                <w:sz w:val="20"/>
                <w:szCs w:val="20"/>
                <w:lang w:val="en-GB"/>
              </w:rPr>
              <w:t xml:space="preserve"> into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an intelligent power grid with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active grid management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DF4E9C">
              <w:rPr>
                <w:rFonts w:cs="Arial"/>
                <w:sz w:val="20"/>
                <w:szCs w:val="20"/>
                <w:lang w:val="en-GB"/>
              </w:rPr>
              <w:t xml:space="preserve"> including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0F2914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Arial"/>
                <w:sz w:val="20"/>
                <w:szCs w:val="20"/>
                <w:lang w:val="en-GB"/>
              </w:rPr>
              <w:t>necessary adaptations to</w:t>
            </w:r>
            <w:r w:rsidR="000F2914">
              <w:rPr>
                <w:rFonts w:cs="Arial"/>
                <w:sz w:val="20"/>
                <w:szCs w:val="20"/>
                <w:lang w:val="en-GB"/>
              </w:rPr>
              <w:t>/of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connected buildings (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Smart Grid ready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Insights gained from integrating power storage systems into common use 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New analytic methods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DF4E9C">
              <w:rPr>
                <w:rFonts w:cs="Arial"/>
                <w:sz w:val="20"/>
                <w:szCs w:val="20"/>
                <w:lang w:val="en-GB"/>
              </w:rPr>
              <w:t xml:space="preserve">and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data visualisation options </w:t>
            </w:r>
            <w:r>
              <w:rPr>
                <w:rFonts w:cs="Arial"/>
                <w:sz w:val="20"/>
                <w:szCs w:val="20"/>
                <w:lang w:val="en-GB"/>
              </w:rPr>
              <w:t>for energy suppliers, grid- and building operators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Awards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World Smart City Project Award, 2016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Smart Energy Systems Awards, 2018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Sponsorship projects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Smart Cities Demo Aspern (short SCDA)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Integrated Network Information System (short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iNIS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67219E" w:rsidRDefault="0067219E" w:rsidP="00FF39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Flexible AC Distribution Systems (short FACDS)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Financial Resources:</w:t>
            </w:r>
            <w:r>
              <w:rPr>
                <w:rFonts w:cs="Arial"/>
                <w:sz w:val="20"/>
                <w:szCs w:val="20"/>
                <w:lang w:val="en-GB"/>
              </w:rPr>
              <w:br/>
              <w:t>38,5 Million Euros</w:t>
            </w: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7219E" w:rsidRPr="0067219E" w:rsidTr="0067219E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19E" w:rsidRDefault="0067219E">
            <w:pPr>
              <w:rPr>
                <w:sz w:val="20"/>
                <w:szCs w:val="20"/>
                <w:lang w:val="en-GB"/>
              </w:rPr>
            </w:pPr>
          </w:p>
          <w:p w:rsidR="0067219E" w:rsidRDefault="006721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Ing. Mag. (FH) Nicole Kreuzer</w:t>
            </w:r>
            <w:r>
              <w:rPr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sz w:val="20"/>
                <w:szCs w:val="20"/>
                <w:lang w:val="en-GB"/>
              </w:rPr>
              <w:t>Aspern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Smart City Research GmbH &amp; Co KG </w:t>
            </w:r>
            <w:r>
              <w:rPr>
                <w:sz w:val="20"/>
                <w:szCs w:val="20"/>
                <w:lang w:val="en-GB"/>
              </w:rPr>
              <w:br/>
              <w:t xml:space="preserve">+43 664 623 3073 </w:t>
            </w:r>
            <w:r>
              <w:rPr>
                <w:sz w:val="20"/>
                <w:szCs w:val="20"/>
                <w:lang w:val="en-GB"/>
              </w:rPr>
              <w:br/>
            </w:r>
            <w:hyperlink r:id="rId6" w:history="1">
              <w:r>
                <w:rPr>
                  <w:rStyle w:val="Hyperlink"/>
                  <w:sz w:val="20"/>
                  <w:lang w:val="en-GB"/>
                </w:rPr>
                <w:t>nicole.kreuzer@ascr.at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:rsidR="0067219E" w:rsidRDefault="0067219E" w:rsidP="0067219E">
      <w:pPr>
        <w:rPr>
          <w:rFonts w:asciiTheme="minorHAnsi" w:hAnsiTheme="minorHAnsi" w:cs="Arial"/>
          <w:lang w:val="en-GB"/>
        </w:rPr>
      </w:pPr>
    </w:p>
    <w:p w:rsidR="0067219E" w:rsidRDefault="0067219E" w:rsidP="0067219E">
      <w:pPr>
        <w:rPr>
          <w:rFonts w:cs="Arial"/>
          <w:lang w:val="en-GB"/>
        </w:rPr>
      </w:pPr>
    </w:p>
    <w:p w:rsidR="00C239B0" w:rsidRPr="0067219E" w:rsidRDefault="00C239B0">
      <w:pPr>
        <w:rPr>
          <w:lang w:val="en-GB"/>
        </w:rPr>
      </w:pPr>
    </w:p>
    <w:sectPr w:rsidR="00C239B0" w:rsidRPr="0067219E" w:rsidSect="00DA5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B9E"/>
    <w:multiLevelType w:val="hybridMultilevel"/>
    <w:tmpl w:val="582AB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A412B9"/>
    <w:multiLevelType w:val="hybridMultilevel"/>
    <w:tmpl w:val="DCA67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76A50"/>
    <w:multiLevelType w:val="hybridMultilevel"/>
    <w:tmpl w:val="A6964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0"/>
    <w:rsid w:val="000F2914"/>
    <w:rsid w:val="00174D6D"/>
    <w:rsid w:val="002250B0"/>
    <w:rsid w:val="003C2D2E"/>
    <w:rsid w:val="003C4306"/>
    <w:rsid w:val="005D0A2F"/>
    <w:rsid w:val="0067219E"/>
    <w:rsid w:val="00892B20"/>
    <w:rsid w:val="00B93A4C"/>
    <w:rsid w:val="00BA1B19"/>
    <w:rsid w:val="00C239B0"/>
    <w:rsid w:val="00C51F1C"/>
    <w:rsid w:val="00C7399E"/>
    <w:rsid w:val="00D21AA9"/>
    <w:rsid w:val="00DA524D"/>
    <w:rsid w:val="00DA68A7"/>
    <w:rsid w:val="00DB11D0"/>
    <w:rsid w:val="00DF4E9C"/>
    <w:rsid w:val="00E34700"/>
    <w:rsid w:val="00E57D66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5642"/>
  <w15:docId w15:val="{C8FBDA79-9F0A-4CCF-9821-8F6BB22B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2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7219E"/>
    <w:rPr>
      <w:color w:val="0000FF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67219E"/>
  </w:style>
  <w:style w:type="paragraph" w:styleId="Listenabsatz">
    <w:name w:val="List Paragraph"/>
    <w:basedOn w:val="Standard"/>
    <w:link w:val="ListenabsatzZchn"/>
    <w:uiPriority w:val="34"/>
    <w:qFormat/>
    <w:rsid w:val="0067219E"/>
    <w:pPr>
      <w:spacing w:after="160"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67219E"/>
    <w:pPr>
      <w:spacing w:after="0" w:line="240" w:lineRule="auto"/>
    </w:pPr>
    <w:rPr>
      <w:rFonts w:asciiTheme="minorHAnsi" w:hAnsi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kreuzer@ascr.at" TargetMode="External"/><Relationship Id="rId5" Type="http://schemas.openxmlformats.org/officeDocument/2006/relationships/hyperlink" Target="http://www.asc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Stephen (RC-AT TP SCCR BP1)</dc:creator>
  <cp:lastModifiedBy>Kreuzer Nicole</cp:lastModifiedBy>
  <cp:revision>6</cp:revision>
  <cp:lastPrinted>2019-05-09T07:22:00Z</cp:lastPrinted>
  <dcterms:created xsi:type="dcterms:W3CDTF">2019-05-09T07:40:00Z</dcterms:created>
  <dcterms:modified xsi:type="dcterms:W3CDTF">2019-05-09T07:50:00Z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